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8C5308" w:rsidRDefault="00582043" w:rsidP="006B22C6">
      <w:pPr>
        <w:pStyle w:val="a5"/>
        <w:jc w:val="right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</w:t>
      </w:r>
    </w:p>
    <w:p w:rsidR="007F2E6C" w:rsidRPr="006B22C6" w:rsidRDefault="008C5308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proofErr w:type="spellStart"/>
      <w:r>
        <w:rPr>
          <w:rStyle w:val="a4"/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Style w:val="a4"/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Style w:val="a4"/>
          <w:rFonts w:ascii="Times New Roman" w:hAnsi="Times New Roman" w:cs="Times New Roman"/>
          <w:sz w:val="18"/>
          <w:szCs w:val="18"/>
        </w:rPr>
        <w:t>жанкой</w:t>
      </w:r>
      <w:proofErr w:type="spellEnd"/>
      <w:r>
        <w:rPr>
          <w:rStyle w:val="a4"/>
          <w:rFonts w:ascii="Times New Roman" w:hAnsi="Times New Roman" w:cs="Times New Roman"/>
          <w:sz w:val="18"/>
          <w:szCs w:val="18"/>
        </w:rPr>
        <w:t>, ул.Дзержинского,30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6564) </w:t>
      </w:r>
      <w:r>
        <w:rPr>
          <w:rStyle w:val="a4"/>
          <w:rFonts w:ascii="Times New Roman" w:hAnsi="Times New Roman" w:cs="Times New Roman"/>
          <w:sz w:val="18"/>
          <w:szCs w:val="18"/>
        </w:rPr>
        <w:t>77073</w:t>
      </w:r>
    </w:p>
    <w:p w:rsidR="00582043" w:rsidRPr="008C5308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04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8C5308">
        <w:rPr>
          <w:rStyle w:val="a4"/>
          <w:rFonts w:ascii="Times New Roman" w:hAnsi="Times New Roman" w:cs="Times New Roman"/>
          <w:sz w:val="18"/>
          <w:szCs w:val="18"/>
        </w:rPr>
        <w:t>12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 w:rsidRPr="008C5308">
        <w:rPr>
          <w:rStyle w:val="a4"/>
          <w:rFonts w:ascii="Times New Roman" w:hAnsi="Times New Roman" w:cs="Times New Roman"/>
          <w:sz w:val="18"/>
          <w:szCs w:val="18"/>
        </w:rPr>
        <w:t>7</w:t>
      </w:r>
    </w:p>
    <w:p w:rsidR="00DF532D" w:rsidRPr="00E5171A" w:rsidRDefault="00DF532D" w:rsidP="00DF532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Применять контрольно-кассовую технику или нет?</w:t>
      </w:r>
      <w:bookmarkStart w:id="0" w:name="_GoBack"/>
      <w:bookmarkEnd w:id="0"/>
    </w:p>
    <w:p w:rsidR="00DF532D" w:rsidRPr="00E5171A" w:rsidRDefault="00DF532D" w:rsidP="00DF532D">
      <w:pPr>
        <w:autoSpaceDE w:val="0"/>
        <w:autoSpaceDN w:val="0"/>
        <w:adjustRightInd w:val="0"/>
        <w:jc w:val="both"/>
      </w:pPr>
      <w:r w:rsidRPr="00E5171A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E5171A">
        <w:rPr>
          <w:bCs/>
        </w:rPr>
        <w:t>Межрайонная</w:t>
      </w:r>
      <w:proofErr w:type="gramEnd"/>
      <w:r w:rsidRPr="00E5171A">
        <w:rPr>
          <w:bCs/>
        </w:rPr>
        <w:t xml:space="preserve"> ИФНС России №1 по Республике Крым информирует</w:t>
      </w:r>
      <w:r w:rsidRPr="00E5171A">
        <w:rPr>
          <w:b/>
          <w:bCs/>
        </w:rPr>
        <w:t>,</w:t>
      </w:r>
      <w:r w:rsidRPr="00E5171A">
        <w:rPr>
          <w:bCs/>
        </w:rPr>
        <w:t xml:space="preserve"> что</w:t>
      </w:r>
      <w:r w:rsidRPr="00E5171A">
        <w:rPr>
          <w:b/>
          <w:bCs/>
        </w:rPr>
        <w:t xml:space="preserve"> обязательно применять ККТ необходимо</w:t>
      </w:r>
      <w:r w:rsidRPr="00E5171A">
        <w:t>, если покупатель оплачивает товары (работы, услуги) наличными или пластиковой картой. Обязанность применять ККТ не зависит от того: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t xml:space="preserve">- какую </w:t>
      </w:r>
      <w:hyperlink r:id="rId7" w:history="1">
        <w:r w:rsidRPr="00E5171A">
          <w:rPr>
            <w:color w:val="0000FF"/>
          </w:rPr>
          <w:t>систему налогообложения</w:t>
        </w:r>
      </w:hyperlink>
      <w:r w:rsidRPr="00E5171A">
        <w:t xml:space="preserve"> применяет ваша организация – Общую СН или УСН;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t>- кем является покупатель - представителем организации, предпринимателем (далее - ИП) или обычным гражданином;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t>- является платеж авансом или оплатой уже отгруженных (передаваемых) товаров (работ, услуг);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t>- продаете вы свои товары (работы, услуги) или действуете как посредник (комиссионер, агент) другого лица.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t xml:space="preserve">С 31.03.2017 при продаже алкоголя </w:t>
      </w:r>
      <w:r w:rsidRPr="00E5171A">
        <w:rPr>
          <w:b/>
          <w:bCs/>
        </w:rPr>
        <w:t>надо применять ККТ</w:t>
      </w:r>
      <w:r w:rsidRPr="00E5171A">
        <w:t xml:space="preserve"> независимо от применяемой системы налогообложения и места торговли.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32D">
        <w:rPr>
          <w:b/>
          <w:bCs/>
          <w:szCs w:val="28"/>
        </w:rPr>
        <w:t>Внимание!</w:t>
      </w:r>
      <w:r w:rsidRPr="00DF532D">
        <w:rPr>
          <w:szCs w:val="28"/>
        </w:rPr>
        <w:t xml:space="preserve"> Если налоговая инспекция выявит, что работник организации-продавца не применил ККТ, может быть наложено сразу два штрафа (</w:t>
      </w:r>
      <w:hyperlink r:id="rId8" w:history="1">
        <w:r w:rsidRPr="00DF532D">
          <w:rPr>
            <w:color w:val="0000FF"/>
            <w:szCs w:val="28"/>
          </w:rPr>
          <w:t>ч. 2 ст. 14.5</w:t>
        </w:r>
      </w:hyperlink>
      <w:r w:rsidRPr="00DF532D">
        <w:rPr>
          <w:szCs w:val="28"/>
        </w:rPr>
        <w:t xml:space="preserve"> КоАП РФ):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32D">
        <w:rPr>
          <w:szCs w:val="28"/>
        </w:rPr>
        <w:t>- на организацию в размере от 75% до 100% суммы расчета без применения ККТ, но не менее 30 000 руб.;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32D">
        <w:rPr>
          <w:szCs w:val="28"/>
        </w:rPr>
        <w:t xml:space="preserve">- на </w:t>
      </w:r>
      <w:hyperlink r:id="rId9" w:history="1">
        <w:r w:rsidRPr="00DF532D">
          <w:rPr>
            <w:color w:val="0000FF"/>
            <w:szCs w:val="28"/>
          </w:rPr>
          <w:t>должностное лицо</w:t>
        </w:r>
      </w:hyperlink>
      <w:r w:rsidRPr="00DF532D">
        <w:rPr>
          <w:szCs w:val="28"/>
        </w:rPr>
        <w:t xml:space="preserve"> организации в размере от 25% до 50% суммы расчета без применения ККТ, но не менее 10 000 руб.</w:t>
      </w:r>
    </w:p>
    <w:p w:rsidR="00DF532D" w:rsidRPr="00E5171A" w:rsidRDefault="00DF532D" w:rsidP="00DF532D">
      <w:pPr>
        <w:autoSpaceDE w:val="0"/>
        <w:autoSpaceDN w:val="0"/>
        <w:adjustRightInd w:val="0"/>
        <w:ind w:firstLine="540"/>
        <w:jc w:val="both"/>
      </w:pPr>
      <w:r w:rsidRPr="00E5171A">
        <w:rPr>
          <w:b/>
          <w:bCs/>
        </w:rPr>
        <w:t>Не надо применять ККТ</w:t>
      </w:r>
      <w:r w:rsidRPr="00E5171A">
        <w:t xml:space="preserve"> при получении наличных денег, которые не связаны с оплатой товаров (работ, услуг). Например, при возврате денег, выданных под отчет, или при возврате займа, а также уплате процентов по нему.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b/>
          <w:bCs/>
          <w:sz w:val="24"/>
          <w:szCs w:val="24"/>
        </w:rPr>
        <w:t>Можно не применять ККТ</w:t>
      </w:r>
      <w:r w:rsidRPr="00DF532D">
        <w:rPr>
          <w:sz w:val="24"/>
          <w:szCs w:val="24"/>
        </w:rPr>
        <w:t xml:space="preserve"> при следующих видах деятельности.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1. Оказание услуг населению, если при расчетах клиентам выдаются бланки строгой отчетности (</w:t>
      </w:r>
      <w:hyperlink r:id="rId10" w:history="1">
        <w:r w:rsidRPr="00DF532D">
          <w:rPr>
            <w:color w:val="0000FF"/>
            <w:sz w:val="24"/>
            <w:szCs w:val="24"/>
          </w:rPr>
          <w:t>БСО</w:t>
        </w:r>
      </w:hyperlink>
      <w:r w:rsidRPr="00DF532D">
        <w:rPr>
          <w:sz w:val="24"/>
          <w:szCs w:val="24"/>
        </w:rPr>
        <w:t>).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 xml:space="preserve">2. Оказание услуг, перечисленных в </w:t>
      </w:r>
      <w:hyperlink r:id="rId11" w:history="1">
        <w:r w:rsidRPr="00DF532D">
          <w:rPr>
            <w:color w:val="0000FF"/>
            <w:sz w:val="24"/>
            <w:szCs w:val="24"/>
          </w:rPr>
          <w:t>п. 2 ст. 2</w:t>
        </w:r>
      </w:hyperlink>
      <w:r w:rsidRPr="00DF532D">
        <w:rPr>
          <w:sz w:val="24"/>
          <w:szCs w:val="24"/>
        </w:rPr>
        <w:t xml:space="preserve"> Закона N 54-ФЗ, в частности услуг по ремонту и окраске обуви, изготовлению и ремонту металлической галантереи и ключей.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 xml:space="preserve">3. Продажа через </w:t>
      </w:r>
      <w:proofErr w:type="spellStart"/>
      <w:r w:rsidRPr="00DF532D">
        <w:rPr>
          <w:sz w:val="24"/>
          <w:szCs w:val="24"/>
        </w:rPr>
        <w:t>газетно</w:t>
      </w:r>
      <w:proofErr w:type="spellEnd"/>
      <w:r w:rsidRPr="00DF532D">
        <w:rPr>
          <w:sz w:val="24"/>
          <w:szCs w:val="24"/>
        </w:rPr>
        <w:t>-журнальные киоски газет, журналов и сопутствующих товаров, если доля газет и журналов в общем товарообороте 50% и более, а сопутствующие товары есть в перечне, утвержденном субъектом РФ.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4. Торговля на рынках, ярмарках и выставочных комплексах, кроме торговли непродовольственными товарами.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5. Продажа лотерейных билетов.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6. Продажа питания школьникам и работникам школ во время учебных занятий.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lastRenderedPageBreak/>
        <w:t xml:space="preserve">7. Разносная торговля с ручных тележек, корзин, лотков, кроме торговли </w:t>
      </w:r>
      <w:hyperlink r:id="rId12" w:history="1">
        <w:r w:rsidRPr="00DF532D">
          <w:rPr>
            <w:color w:val="0000FF"/>
            <w:sz w:val="24"/>
            <w:szCs w:val="24"/>
          </w:rPr>
          <w:t>технически сложными товарами</w:t>
        </w:r>
      </w:hyperlink>
      <w:r w:rsidRPr="00DF532D">
        <w:rPr>
          <w:sz w:val="24"/>
          <w:szCs w:val="24"/>
        </w:rPr>
        <w:t xml:space="preserve"> и продовольственными товарами, требующими особых условий хранения и продажи.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8. Торговля в киосках мороженым и безалкогольными напитками в розлив.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9. Торговля из цистерн квасом, молоком, растительным маслом, живой рыбой, керосином.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10. Торговля вразвал овощами и бахчевыми культурами.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11. Прием от населения стеклопосуды и утильсырья, кроме металлолома.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 xml:space="preserve">12. Продажа </w:t>
      </w:r>
      <w:hyperlink r:id="rId13" w:history="1">
        <w:r w:rsidRPr="00DF532D">
          <w:rPr>
            <w:color w:val="0000FF"/>
            <w:sz w:val="24"/>
            <w:szCs w:val="24"/>
          </w:rPr>
          <w:t>ценных бумаг</w:t>
        </w:r>
      </w:hyperlink>
      <w:r w:rsidRPr="00DF532D">
        <w:rPr>
          <w:sz w:val="24"/>
          <w:szCs w:val="24"/>
        </w:rPr>
        <w:t>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532D">
        <w:rPr>
          <w:sz w:val="24"/>
          <w:szCs w:val="24"/>
        </w:rPr>
        <w:t>13. Торговля в отдаленных и труднодоступных местностях, указанных в перечне, утвержденном субъектом РФ.</w:t>
      </w:r>
    </w:p>
    <w:p w:rsidR="00DF532D" w:rsidRPr="00DF532D" w:rsidRDefault="00DF532D" w:rsidP="00DF53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F532D">
        <w:rPr>
          <w:b/>
          <w:sz w:val="24"/>
          <w:szCs w:val="24"/>
        </w:rPr>
        <w:t>Для плательщиков ЕНВД есть особенности применения ККТ</w:t>
      </w:r>
      <w:r w:rsidRPr="00DF532D">
        <w:rPr>
          <w:sz w:val="24"/>
          <w:szCs w:val="24"/>
        </w:rPr>
        <w:t xml:space="preserve"> (</w:t>
      </w:r>
      <w:hyperlink r:id="rId14" w:history="1">
        <w:r w:rsidRPr="00DF532D">
          <w:rPr>
            <w:color w:val="0000FF"/>
            <w:sz w:val="24"/>
            <w:szCs w:val="24"/>
          </w:rPr>
          <w:t>п. 7 ст. 7</w:t>
        </w:r>
      </w:hyperlink>
      <w:r w:rsidRPr="00DF532D">
        <w:rPr>
          <w:sz w:val="24"/>
          <w:szCs w:val="24"/>
        </w:rPr>
        <w:t xml:space="preserve"> Закона N 290-ФЗ, Письма Минфина от 07.04.2017 </w:t>
      </w:r>
      <w:hyperlink r:id="rId15" w:history="1">
        <w:r w:rsidRPr="00DF532D">
          <w:rPr>
            <w:color w:val="0000FF"/>
            <w:sz w:val="24"/>
            <w:szCs w:val="24"/>
          </w:rPr>
          <w:t>N 03-01-15/20998</w:t>
        </w:r>
      </w:hyperlink>
      <w:r w:rsidRPr="00DF532D">
        <w:rPr>
          <w:sz w:val="24"/>
          <w:szCs w:val="24"/>
        </w:rPr>
        <w:t xml:space="preserve">, ФНС от 25.10.2016 </w:t>
      </w:r>
      <w:hyperlink r:id="rId16" w:history="1">
        <w:r w:rsidRPr="00DF532D">
          <w:rPr>
            <w:color w:val="0000FF"/>
            <w:sz w:val="24"/>
            <w:szCs w:val="24"/>
          </w:rPr>
          <w:t>N ЕД-4-20/20179</w:t>
        </w:r>
      </w:hyperlink>
      <w:r w:rsidRPr="00DF532D">
        <w:rPr>
          <w:sz w:val="24"/>
          <w:szCs w:val="24"/>
        </w:rPr>
        <w:t>).</w:t>
      </w:r>
    </w:p>
    <w:p w:rsidR="008A220C" w:rsidRPr="00DF532D" w:rsidRDefault="008A220C" w:rsidP="009C7E29">
      <w:pPr>
        <w:rPr>
          <w:rFonts w:cs="Times New Roman"/>
          <w:sz w:val="24"/>
          <w:szCs w:val="24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A220C"/>
    <w:rsid w:val="008A6557"/>
    <w:rsid w:val="008C5308"/>
    <w:rsid w:val="00930ACE"/>
    <w:rsid w:val="009C7E29"/>
    <w:rsid w:val="009F7F45"/>
    <w:rsid w:val="00AA3546"/>
    <w:rsid w:val="00AF1CA5"/>
    <w:rsid w:val="00B34A1A"/>
    <w:rsid w:val="00B65DBC"/>
    <w:rsid w:val="00BE3E3B"/>
    <w:rsid w:val="00C23E42"/>
    <w:rsid w:val="00DF532D"/>
    <w:rsid w:val="00E16678"/>
    <w:rsid w:val="00E43F86"/>
    <w:rsid w:val="00E6133B"/>
    <w:rsid w:val="00E65CDA"/>
    <w:rsid w:val="00F10E77"/>
    <w:rsid w:val="00F16C1B"/>
    <w:rsid w:val="00F2031E"/>
    <w:rsid w:val="00F46658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F9BB8200C88C1DC0828978D2EC413BAB99830EF91BF2EC5CD1642D439E3BEBC4C66EEDD50o1C5H" TargetMode="External"/><Relationship Id="rId13" Type="http://schemas.openxmlformats.org/officeDocument/2006/relationships/hyperlink" Target="consultantplus://offline/ref=758F9BB8200C88C1DC0828978D2EC413BAB99930EC91BF2EC5CD1642D439E3BEBC4C66EED9551499o1CA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F9BB8200C88C1DC083494932EC413B9BA9E37ED93BF2EC5CD1642D4o3C9H" TargetMode="External"/><Relationship Id="rId12" Type="http://schemas.openxmlformats.org/officeDocument/2006/relationships/hyperlink" Target="consultantplus://offline/ref=758F9BB8200C88C1DC0828978D2EC413BAB8993DEE92BF2EC5CD1642D439E3BEBC4C66EED9551C9Do1C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A4DB3312387507DC76694EBAEFAC80FD27FD92B4732AE44E1874843AB0ADF591D4AD953AC1ACFC501D20VD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8F9BB8200C88C1DC0828978D2EC413BAB89D3CEF94BF2EC5CD1642D439E3BEBC4C66EED8o5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A4DB3312387507DC76694EBAEFAC80FD27FD92B0722BE34E1874843AB0ADF591D4AD953AC1ACFC501D20VBH" TargetMode="External"/><Relationship Id="rId10" Type="http://schemas.openxmlformats.org/officeDocument/2006/relationships/hyperlink" Target="consultantplus://offline/ref=758F9BB8200C88C1DC083494932EC413B9B1943CEE96BF2EC5CD1642D4o3C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F9BB8200C88C1DC083494932EC413BAB99A32EF95BF2EC5CD1642D439E3BEBC4C66EED9551D9Do1C1H" TargetMode="External"/><Relationship Id="rId14" Type="http://schemas.openxmlformats.org/officeDocument/2006/relationships/hyperlink" Target="consultantplus://offline/ref=A0A4DB3312387507DC76745AA8879686A12AFC93B27726B7191A25D134B5A5A5D9C4E3D037C0A9F425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2017-12-04T06:33:00Z</cp:lastPrinted>
  <dcterms:created xsi:type="dcterms:W3CDTF">2017-12-04T06:33:00Z</dcterms:created>
  <dcterms:modified xsi:type="dcterms:W3CDTF">2017-12-04T06:33:00Z</dcterms:modified>
</cp:coreProperties>
</file>